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CD8" w:rsidRPr="00965B32" w:rsidRDefault="00DC7CCF" w:rsidP="001167F6">
      <w:pPr>
        <w:pStyle w:val="Titre"/>
        <w:spacing w:line="276" w:lineRule="auto"/>
        <w:jc w:val="both"/>
        <w:rPr>
          <w:rFonts w:ascii="Comic Sans MS" w:hAnsi="Comic Sans MS"/>
          <w:b/>
          <w:bCs/>
        </w:rPr>
      </w:pPr>
      <w:r w:rsidRPr="00965B32">
        <w:rPr>
          <w:rFonts w:ascii="Comic Sans MS" w:hAnsi="Comic Sans MS"/>
          <w:b/>
          <w:bCs/>
          <w:sz w:val="48"/>
          <w:szCs w:val="48"/>
        </w:rPr>
        <w:t>Introdu</w:t>
      </w:r>
      <w:r w:rsidR="001167F6">
        <w:rPr>
          <w:rFonts w:ascii="Comic Sans MS" w:hAnsi="Comic Sans MS"/>
          <w:b/>
          <w:bCs/>
          <w:sz w:val="48"/>
          <w:szCs w:val="48"/>
        </w:rPr>
        <w:t>ction</w:t>
      </w:r>
      <w:r w:rsidRPr="00965B32">
        <w:rPr>
          <w:rFonts w:ascii="Comic Sans MS" w:hAnsi="Comic Sans MS"/>
          <w:b/>
          <w:bCs/>
        </w:rPr>
        <w:t xml:space="preserve"> et conclu</w:t>
      </w:r>
      <w:r w:rsidR="001167F6">
        <w:rPr>
          <w:rFonts w:ascii="Comic Sans MS" w:hAnsi="Comic Sans MS"/>
          <w:b/>
          <w:bCs/>
        </w:rPr>
        <w:t>sion.</w:t>
      </w:r>
    </w:p>
    <w:p w:rsidR="00DC7CCF" w:rsidRPr="00965B32" w:rsidRDefault="00DC7CCF" w:rsidP="00965B32">
      <w:pPr>
        <w:jc w:val="both"/>
        <w:rPr>
          <w:rFonts w:ascii="Comic Sans MS" w:hAnsi="Comic Sans MS"/>
        </w:rPr>
      </w:pPr>
      <w:r w:rsidRPr="00965B32">
        <w:rPr>
          <w:rFonts w:ascii="Comic Sans MS" w:hAnsi="Comic Sans MS"/>
        </w:rPr>
        <w:t>La copie rédigée sera lue par un examinateur qui en aura probablement déjà parcouru quelques dizaines sur le même sujet. Il faut donc éveiller son intérêt : c’est le but de l’introduction. Mais ce lecteur doit aussi garder une impression finale favorable, grâce à la conclusion. Situées à deux endroits-clés, introduction et conclusion doivent dans tous les cas être particulièrement soignées.</w:t>
      </w:r>
    </w:p>
    <w:p w:rsidR="00085173" w:rsidRPr="00965B32" w:rsidRDefault="00085173" w:rsidP="00965B32">
      <w:pPr>
        <w:jc w:val="both"/>
        <w:rPr>
          <w:rFonts w:ascii="Comic Sans MS" w:hAnsi="Comic Sans MS"/>
          <w:b/>
          <w:bCs/>
          <w:color w:val="00B050"/>
        </w:rPr>
      </w:pPr>
      <w:r w:rsidRPr="00965B32">
        <w:rPr>
          <w:rFonts w:ascii="Comic Sans MS" w:hAnsi="Comic Sans MS"/>
          <w:b/>
          <w:bCs/>
          <w:color w:val="00B050"/>
        </w:rPr>
        <w:t>L’introduction </w:t>
      </w:r>
      <w:r w:rsidR="008A69BC" w:rsidRPr="00965B32">
        <w:rPr>
          <w:rFonts w:ascii="Comic Sans MS" w:hAnsi="Comic Sans MS"/>
          <w:b/>
          <w:bCs/>
          <w:color w:val="00B050"/>
        </w:rPr>
        <w:t>: 3</w:t>
      </w:r>
      <w:r w:rsidRPr="00965B32">
        <w:rPr>
          <w:rFonts w:ascii="Comic Sans MS" w:hAnsi="Comic Sans MS"/>
          <w:b/>
          <w:bCs/>
          <w:color w:val="00B050"/>
        </w:rPr>
        <w:t xml:space="preserve"> étapes :</w:t>
      </w:r>
    </w:p>
    <w:p w:rsidR="00085173" w:rsidRPr="00965B32" w:rsidRDefault="008A69BC" w:rsidP="001167F6">
      <w:pPr>
        <w:pStyle w:val="Paragraphedeliste"/>
        <w:numPr>
          <w:ilvl w:val="0"/>
          <w:numId w:val="1"/>
        </w:numPr>
        <w:jc w:val="both"/>
        <w:rPr>
          <w:rFonts w:ascii="Comic Sans MS" w:hAnsi="Comic Sans MS"/>
        </w:rPr>
      </w:pPr>
      <w:r w:rsidRPr="00965B32">
        <w:rPr>
          <w:rFonts w:ascii="Comic Sans MS" w:hAnsi="Comic Sans MS"/>
          <w:b/>
          <w:bCs/>
          <w:u w:val="single"/>
        </w:rPr>
        <w:t>le</w:t>
      </w:r>
      <w:r w:rsidR="00085173" w:rsidRPr="00965B32">
        <w:rPr>
          <w:rFonts w:ascii="Comic Sans MS" w:hAnsi="Comic Sans MS"/>
          <w:b/>
          <w:bCs/>
          <w:u w:val="single"/>
        </w:rPr>
        <w:t xml:space="preserve"> contexte</w:t>
      </w:r>
      <w:r w:rsidR="00085173" w:rsidRPr="00965B32">
        <w:rPr>
          <w:rFonts w:ascii="Comic Sans MS" w:hAnsi="Comic Sans MS"/>
        </w:rPr>
        <w:t> </w:t>
      </w:r>
      <w:r w:rsidRPr="00965B32">
        <w:rPr>
          <w:rFonts w:ascii="Comic Sans MS" w:hAnsi="Comic Sans MS"/>
        </w:rPr>
        <w:t>: c’est</w:t>
      </w:r>
      <w:r w:rsidR="00085173" w:rsidRPr="00965B32">
        <w:rPr>
          <w:rFonts w:ascii="Comic Sans MS" w:hAnsi="Comic Sans MS"/>
        </w:rPr>
        <w:t xml:space="preserve"> une entrée en matière qui situe le </w:t>
      </w:r>
      <w:r w:rsidRPr="00965B32">
        <w:rPr>
          <w:rFonts w:ascii="Comic Sans MS" w:hAnsi="Comic Sans MS"/>
        </w:rPr>
        <w:t>sujet. Il</w:t>
      </w:r>
      <w:r w:rsidR="00085173" w:rsidRPr="00965B32">
        <w:rPr>
          <w:rFonts w:ascii="Comic Sans MS" w:hAnsi="Comic Sans MS"/>
        </w:rPr>
        <w:t xml:space="preserve"> fait appel à des connaissances scolaires précises </w:t>
      </w:r>
      <w:r w:rsidRPr="00965B32">
        <w:rPr>
          <w:rFonts w:ascii="Comic Sans MS" w:hAnsi="Comic Sans MS"/>
        </w:rPr>
        <w:t>: les</w:t>
      </w:r>
      <w:r w:rsidR="00085173" w:rsidRPr="00965B32">
        <w:rPr>
          <w:rFonts w:ascii="Comic Sans MS" w:hAnsi="Comic Sans MS"/>
        </w:rPr>
        <w:t xml:space="preserve"> </w:t>
      </w:r>
      <w:r w:rsidRPr="00965B32">
        <w:rPr>
          <w:rFonts w:ascii="Comic Sans MS" w:hAnsi="Comic Sans MS"/>
        </w:rPr>
        <w:t>thèmes</w:t>
      </w:r>
      <w:r w:rsidR="00085173" w:rsidRPr="00965B32">
        <w:rPr>
          <w:rFonts w:ascii="Comic Sans MS" w:hAnsi="Comic Sans MS"/>
        </w:rPr>
        <w:t xml:space="preserve"> </w:t>
      </w:r>
      <w:r w:rsidRPr="00965B32">
        <w:rPr>
          <w:rFonts w:ascii="Comic Sans MS" w:hAnsi="Comic Sans MS"/>
        </w:rPr>
        <w:t>étudiés, les</w:t>
      </w:r>
      <w:r w:rsidR="00085173" w:rsidRPr="00965B32">
        <w:rPr>
          <w:rFonts w:ascii="Comic Sans MS" w:hAnsi="Comic Sans MS"/>
        </w:rPr>
        <w:t xml:space="preserve"> mouvements </w:t>
      </w:r>
      <w:r w:rsidRPr="00965B32">
        <w:rPr>
          <w:rFonts w:ascii="Comic Sans MS" w:hAnsi="Comic Sans MS"/>
        </w:rPr>
        <w:t>littéraires, les</w:t>
      </w:r>
      <w:r w:rsidR="00085173" w:rsidRPr="00965B32">
        <w:rPr>
          <w:rFonts w:ascii="Comic Sans MS" w:hAnsi="Comic Sans MS"/>
        </w:rPr>
        <w:t xml:space="preserve"> rapports entre un auteur et son </w:t>
      </w:r>
      <w:r w:rsidRPr="00965B32">
        <w:rPr>
          <w:rFonts w:ascii="Comic Sans MS" w:hAnsi="Comic Sans MS"/>
        </w:rPr>
        <w:t>époque, une</w:t>
      </w:r>
      <w:r w:rsidR="00085173" w:rsidRPr="00965B32">
        <w:rPr>
          <w:rFonts w:ascii="Comic Sans MS" w:hAnsi="Comic Sans MS"/>
        </w:rPr>
        <w:t xml:space="preserve"> statistique parlante constituent autant d’entrées en </w:t>
      </w:r>
      <w:r w:rsidR="00E158AE" w:rsidRPr="00965B32">
        <w:rPr>
          <w:rFonts w:ascii="Comic Sans MS" w:hAnsi="Comic Sans MS"/>
        </w:rPr>
        <w:t>matière. Mais</w:t>
      </w:r>
      <w:r w:rsidRPr="00965B32">
        <w:rPr>
          <w:rFonts w:ascii="Comic Sans MS" w:hAnsi="Comic Sans MS"/>
        </w:rPr>
        <w:t xml:space="preserve"> il fait aussi appel aux connaissances personnelles acquises par l’</w:t>
      </w:r>
      <w:r w:rsidR="00E158AE" w:rsidRPr="00965B32">
        <w:rPr>
          <w:rFonts w:ascii="Comic Sans MS" w:hAnsi="Comic Sans MS"/>
        </w:rPr>
        <w:t>expérience, les</w:t>
      </w:r>
      <w:r w:rsidRPr="00965B32">
        <w:rPr>
          <w:rFonts w:ascii="Comic Sans MS" w:hAnsi="Comic Sans MS"/>
        </w:rPr>
        <w:t xml:space="preserve"> </w:t>
      </w:r>
      <w:r w:rsidR="00E158AE" w:rsidRPr="00965B32">
        <w:rPr>
          <w:rFonts w:ascii="Comic Sans MS" w:hAnsi="Comic Sans MS"/>
        </w:rPr>
        <w:t>médias. En</w:t>
      </w:r>
      <w:r w:rsidRPr="00965B32">
        <w:rPr>
          <w:rFonts w:ascii="Comic Sans MS" w:hAnsi="Comic Sans MS"/>
        </w:rPr>
        <w:t xml:space="preserve"> effet, les généralités </w:t>
      </w:r>
      <w:r w:rsidR="001167F6" w:rsidRPr="00965B32">
        <w:rPr>
          <w:rFonts w:ascii="Comic Sans MS" w:hAnsi="Comic Sans MS"/>
        </w:rPr>
        <w:t>passe-partout</w:t>
      </w:r>
      <w:r w:rsidR="001167F6">
        <w:rPr>
          <w:rFonts w:ascii="Comic Sans MS" w:hAnsi="Comic Sans MS"/>
        </w:rPr>
        <w:t xml:space="preserve"> (</w:t>
      </w:r>
      <w:proofErr w:type="spellStart"/>
      <w:r w:rsidR="00965B32">
        <w:rPr>
          <w:rFonts w:ascii="Comic Sans MS" w:hAnsi="Comic Sans MS"/>
        </w:rPr>
        <w:t>re</w:t>
      </w:r>
      <w:r w:rsidR="00E158AE" w:rsidRPr="00965B32">
        <w:rPr>
          <w:rFonts w:ascii="Comic Sans MS" w:hAnsi="Comic Sans MS"/>
        </w:rPr>
        <w:t>parcourir</w:t>
      </w:r>
      <w:proofErr w:type="spellEnd"/>
      <w:r w:rsidR="00E158AE" w:rsidRPr="00965B32">
        <w:rPr>
          <w:rFonts w:ascii="Comic Sans MS" w:hAnsi="Comic Sans MS"/>
        </w:rPr>
        <w:t xml:space="preserve"> l</w:t>
      </w:r>
      <w:r w:rsidRPr="00965B32">
        <w:rPr>
          <w:rFonts w:ascii="Comic Sans MS" w:hAnsi="Comic Sans MS"/>
        </w:rPr>
        <w:t>’histoire de la littérature depuis l’Antiquité</w:t>
      </w:r>
      <w:r w:rsidR="001167F6">
        <w:rPr>
          <w:rFonts w:ascii="Comic Sans MS" w:hAnsi="Comic Sans MS"/>
        </w:rPr>
        <w:t xml:space="preserve">) </w:t>
      </w:r>
      <w:r w:rsidRPr="00965B32">
        <w:rPr>
          <w:rFonts w:ascii="Comic Sans MS" w:hAnsi="Comic Sans MS"/>
        </w:rPr>
        <w:t>sont à éviter absolument.</w:t>
      </w:r>
    </w:p>
    <w:p w:rsidR="008A69BC" w:rsidRPr="00965B32" w:rsidRDefault="008A69BC" w:rsidP="00965B32">
      <w:pPr>
        <w:pStyle w:val="Paragraphedeliste"/>
        <w:numPr>
          <w:ilvl w:val="0"/>
          <w:numId w:val="1"/>
        </w:numPr>
        <w:jc w:val="both"/>
        <w:rPr>
          <w:rFonts w:ascii="Comic Sans MS" w:hAnsi="Comic Sans MS"/>
        </w:rPr>
      </w:pPr>
      <w:r w:rsidRPr="00965B32">
        <w:rPr>
          <w:rFonts w:ascii="Comic Sans MS" w:hAnsi="Comic Sans MS"/>
          <w:b/>
          <w:bCs/>
          <w:u w:val="single"/>
        </w:rPr>
        <w:t>Le sujet lui-même</w:t>
      </w:r>
      <w:r w:rsidRPr="00965B32">
        <w:rPr>
          <w:rFonts w:ascii="Comic Sans MS" w:hAnsi="Comic Sans MS"/>
        </w:rPr>
        <w:t> </w:t>
      </w:r>
      <w:r w:rsidR="00EF23EB" w:rsidRPr="00965B32">
        <w:rPr>
          <w:rFonts w:ascii="Comic Sans MS" w:hAnsi="Comic Sans MS"/>
        </w:rPr>
        <w:t>: Il</w:t>
      </w:r>
      <w:r w:rsidR="00E158AE" w:rsidRPr="00965B32">
        <w:rPr>
          <w:rFonts w:ascii="Comic Sans MS" w:hAnsi="Comic Sans MS"/>
        </w:rPr>
        <w:t xml:space="preserve"> est relié au contexte par un lien logique</w:t>
      </w:r>
      <w:r w:rsidR="00EF23EB" w:rsidRPr="00965B32">
        <w:rPr>
          <w:rFonts w:ascii="Comic Sans MS" w:hAnsi="Comic Sans MS"/>
        </w:rPr>
        <w:t>.il faut faire comme si le lecteur de la copie ignorait l’énoncé </w:t>
      </w:r>
      <w:r w:rsidR="00982362" w:rsidRPr="00965B32">
        <w:rPr>
          <w:rFonts w:ascii="Comic Sans MS" w:hAnsi="Comic Sans MS"/>
        </w:rPr>
        <w:t>: la</w:t>
      </w:r>
      <w:r w:rsidR="00EF23EB" w:rsidRPr="00965B32">
        <w:rPr>
          <w:rFonts w:ascii="Comic Sans MS" w:hAnsi="Comic Sans MS"/>
        </w:rPr>
        <w:t xml:space="preserve"> présentation doit être claire et suffisante.</w:t>
      </w:r>
    </w:p>
    <w:p w:rsidR="00EF23EB" w:rsidRPr="00965B32" w:rsidRDefault="00EF23EB" w:rsidP="00965B32">
      <w:pPr>
        <w:pStyle w:val="Paragraphedeliste"/>
        <w:numPr>
          <w:ilvl w:val="0"/>
          <w:numId w:val="1"/>
        </w:numPr>
        <w:jc w:val="both"/>
        <w:rPr>
          <w:rFonts w:ascii="Comic Sans MS" w:hAnsi="Comic Sans MS"/>
        </w:rPr>
      </w:pPr>
      <w:r w:rsidRPr="00965B32">
        <w:rPr>
          <w:rFonts w:ascii="Comic Sans MS" w:hAnsi="Comic Sans MS"/>
          <w:b/>
          <w:bCs/>
          <w:u w:val="single"/>
        </w:rPr>
        <w:t>La présentation concise du plan</w:t>
      </w:r>
      <w:r w:rsidRPr="00965B32">
        <w:rPr>
          <w:rFonts w:ascii="Comic Sans MS" w:hAnsi="Comic Sans MS"/>
          <w:u w:val="single"/>
        </w:rPr>
        <w:t xml:space="preserve"> </w:t>
      </w:r>
      <w:r w:rsidRPr="00965B32">
        <w:rPr>
          <w:rFonts w:ascii="Comic Sans MS" w:hAnsi="Comic Sans MS"/>
          <w:b/>
          <w:bCs/>
          <w:u w:val="single"/>
        </w:rPr>
        <w:t>adopté</w:t>
      </w:r>
      <w:r w:rsidR="00982362" w:rsidRPr="00965B32">
        <w:rPr>
          <w:rFonts w:ascii="Comic Sans MS" w:hAnsi="Comic Sans MS"/>
          <w:b/>
          <w:bCs/>
        </w:rPr>
        <w:t> </w:t>
      </w:r>
      <w:r w:rsidR="00982362" w:rsidRPr="00965B32">
        <w:rPr>
          <w:rFonts w:ascii="Comic Sans MS" w:hAnsi="Comic Sans MS"/>
        </w:rPr>
        <w:t>:</w:t>
      </w:r>
      <w:r w:rsidRPr="00965B32">
        <w:rPr>
          <w:rFonts w:ascii="Comic Sans MS" w:hAnsi="Comic Sans MS"/>
        </w:rPr>
        <w:t> </w:t>
      </w:r>
      <w:r w:rsidR="00982362" w:rsidRPr="00965B32">
        <w:rPr>
          <w:rFonts w:ascii="Comic Sans MS" w:hAnsi="Comic Sans MS"/>
        </w:rPr>
        <w:t>Il</w:t>
      </w:r>
      <w:r w:rsidRPr="00965B32">
        <w:rPr>
          <w:rFonts w:ascii="Comic Sans MS" w:hAnsi="Comic Sans MS"/>
        </w:rPr>
        <w:t xml:space="preserve"> faut faire attention de ne pas transformer ces indications en réponses anticipés </w:t>
      </w:r>
      <w:r w:rsidR="00982362" w:rsidRPr="00965B32">
        <w:rPr>
          <w:rFonts w:ascii="Comic Sans MS" w:hAnsi="Comic Sans MS"/>
        </w:rPr>
        <w:t>; la</w:t>
      </w:r>
      <w:r w:rsidRPr="00965B32">
        <w:rPr>
          <w:rFonts w:ascii="Comic Sans MS" w:hAnsi="Comic Sans MS"/>
        </w:rPr>
        <w:t xml:space="preserve"> présentation peut éventuellement se faire sous forme de questions, à condition de ne pas les multiplier.</w:t>
      </w:r>
    </w:p>
    <w:p w:rsidR="00EB76E6" w:rsidRPr="00965B32" w:rsidRDefault="00EB76E6" w:rsidP="00965B32">
      <w:pPr>
        <w:jc w:val="both"/>
        <w:rPr>
          <w:rFonts w:ascii="Comic Sans MS" w:hAnsi="Comic Sans MS"/>
          <w:b/>
          <w:bCs/>
          <w:color w:val="00B050"/>
        </w:rPr>
      </w:pPr>
      <w:r w:rsidRPr="00965B32">
        <w:rPr>
          <w:rFonts w:ascii="Comic Sans MS" w:hAnsi="Comic Sans MS"/>
          <w:b/>
          <w:bCs/>
          <w:color w:val="00B050"/>
        </w:rPr>
        <w:t>La conclusion : 2 étapes :</w:t>
      </w:r>
    </w:p>
    <w:p w:rsidR="00982362" w:rsidRPr="00965B32" w:rsidRDefault="00EB76E6" w:rsidP="00965B32">
      <w:pPr>
        <w:ind w:left="360"/>
        <w:jc w:val="both"/>
        <w:rPr>
          <w:rFonts w:ascii="Comic Sans MS" w:hAnsi="Comic Sans MS"/>
        </w:rPr>
      </w:pPr>
      <w:r w:rsidRPr="001167F6">
        <w:rPr>
          <w:rFonts w:ascii="Comic Sans MS" w:hAnsi="Comic Sans MS"/>
          <w:b/>
          <w:bCs/>
        </w:rPr>
        <w:t>1.</w:t>
      </w:r>
      <w:r w:rsidRPr="00965B32">
        <w:rPr>
          <w:rFonts w:ascii="Comic Sans MS" w:hAnsi="Comic Sans MS"/>
        </w:rPr>
        <w:t xml:space="preserve"> </w:t>
      </w:r>
      <w:r w:rsidRPr="00965B32">
        <w:rPr>
          <w:rFonts w:ascii="Comic Sans MS" w:hAnsi="Comic Sans MS"/>
          <w:b/>
          <w:bCs/>
          <w:u w:val="single"/>
        </w:rPr>
        <w:t>Une</w:t>
      </w:r>
      <w:r w:rsidR="00982362" w:rsidRPr="00965B32">
        <w:rPr>
          <w:rFonts w:ascii="Comic Sans MS" w:hAnsi="Comic Sans MS"/>
          <w:b/>
          <w:bCs/>
          <w:u w:val="single"/>
        </w:rPr>
        <w:t xml:space="preserve"> réponse synthétique et personnelle aux questions posées dans l’introduction</w:t>
      </w:r>
      <w:r w:rsidR="00982362" w:rsidRPr="00965B32">
        <w:rPr>
          <w:rFonts w:ascii="Comic Sans MS" w:hAnsi="Comic Sans MS"/>
        </w:rPr>
        <w:t>. C’est le bilan de ce que le développement permet de penser. Cette réponse doit être ferme, même si elle est nuancée. Il ne faut ni reprendre le développement, ni introduire de  nouveaux exemples ou de nouvelles idées.</w:t>
      </w:r>
    </w:p>
    <w:p w:rsidR="00965B32" w:rsidRPr="00965B32" w:rsidRDefault="00EB76E6" w:rsidP="001167F6">
      <w:pPr>
        <w:ind w:left="360"/>
        <w:jc w:val="both"/>
        <w:rPr>
          <w:rFonts w:ascii="Comic Sans MS" w:hAnsi="Comic Sans MS"/>
        </w:rPr>
      </w:pPr>
      <w:r w:rsidRPr="001167F6">
        <w:rPr>
          <w:rFonts w:ascii="Comic Sans MS" w:hAnsi="Comic Sans MS"/>
          <w:b/>
          <w:bCs/>
        </w:rPr>
        <w:lastRenderedPageBreak/>
        <w:t>2</w:t>
      </w:r>
      <w:r w:rsidRPr="00965B32">
        <w:rPr>
          <w:rFonts w:ascii="Comic Sans MS" w:hAnsi="Comic Sans MS"/>
        </w:rPr>
        <w:t xml:space="preserve">. </w:t>
      </w:r>
      <w:r w:rsidRPr="00965B32">
        <w:rPr>
          <w:rFonts w:ascii="Comic Sans MS" w:hAnsi="Comic Sans MS"/>
          <w:b/>
          <w:bCs/>
          <w:u w:val="single"/>
        </w:rPr>
        <w:t>Un</w:t>
      </w:r>
      <w:r w:rsidR="00982362" w:rsidRPr="00965B32">
        <w:rPr>
          <w:rFonts w:ascii="Comic Sans MS" w:hAnsi="Comic Sans MS"/>
          <w:b/>
          <w:bCs/>
          <w:u w:val="single"/>
        </w:rPr>
        <w:t xml:space="preserve"> </w:t>
      </w:r>
      <w:r w:rsidRPr="00965B32">
        <w:rPr>
          <w:rFonts w:ascii="Comic Sans MS" w:hAnsi="Comic Sans MS"/>
          <w:b/>
          <w:bCs/>
          <w:u w:val="single"/>
        </w:rPr>
        <w:t>élargissement</w:t>
      </w:r>
      <w:r w:rsidR="00982362" w:rsidRPr="00965B32">
        <w:rPr>
          <w:rFonts w:ascii="Comic Sans MS" w:hAnsi="Comic Sans MS"/>
          <w:u w:val="single"/>
        </w:rPr>
        <w:t> </w:t>
      </w:r>
      <w:r w:rsidR="00AE1E9D" w:rsidRPr="00965B32">
        <w:rPr>
          <w:rFonts w:ascii="Comic Sans MS" w:hAnsi="Comic Sans MS"/>
        </w:rPr>
        <w:t>: Il</w:t>
      </w:r>
      <w:r w:rsidR="00982362" w:rsidRPr="00965B32">
        <w:rPr>
          <w:rFonts w:ascii="Comic Sans MS" w:hAnsi="Comic Sans MS"/>
        </w:rPr>
        <w:t xml:space="preserve"> consiste en une nouvelle orientation</w:t>
      </w:r>
      <w:r w:rsidRPr="00965B32">
        <w:rPr>
          <w:rFonts w:ascii="Comic Sans MS" w:hAnsi="Comic Sans MS"/>
        </w:rPr>
        <w:t xml:space="preserve"> de la pensée, une piste donnée pour des recherches ultérieures </w:t>
      </w:r>
      <w:r w:rsidR="00AE1E9D" w:rsidRPr="00965B32">
        <w:rPr>
          <w:rFonts w:ascii="Comic Sans MS" w:hAnsi="Comic Sans MS"/>
        </w:rPr>
        <w:t>: il</w:t>
      </w:r>
      <w:r w:rsidRPr="00965B32">
        <w:rPr>
          <w:rFonts w:ascii="Comic Sans MS" w:hAnsi="Comic Sans MS"/>
        </w:rPr>
        <w:t xml:space="preserve"> n’est possible que si le bilan effectué permet l’ouverture vers une autre question qui prolongera la réflexion au-delà du sujet.il faut renoncer à cet élargissement si ne se pressentent que des pistes artificielles sans grand rapport avec le sujet</w:t>
      </w:r>
      <w:r w:rsidR="00965B32" w:rsidRPr="00965B32">
        <w:rPr>
          <w:rFonts w:ascii="Comic Sans MS" w:hAnsi="Comic Sans MS"/>
        </w:rPr>
        <w:t>...</w:t>
      </w:r>
    </w:p>
    <w:p w:rsidR="008F097A" w:rsidRPr="00965B32" w:rsidRDefault="008F097A" w:rsidP="00965B32">
      <w:pPr>
        <w:ind w:left="360"/>
        <w:jc w:val="both"/>
        <w:rPr>
          <w:rFonts w:ascii="Comic Sans MS" w:hAnsi="Comic Sans MS"/>
        </w:rPr>
      </w:pPr>
      <w:r w:rsidRPr="00965B32">
        <w:rPr>
          <w:rFonts w:ascii="Comic Sans MS" w:hAnsi="Comic Sans MS"/>
          <w:b/>
          <w:bCs/>
          <w:color w:val="0070C0"/>
        </w:rPr>
        <w:t>Réussir une introduction est</w:t>
      </w:r>
      <w:r w:rsidR="00AE1E9D" w:rsidRPr="00965B32">
        <w:rPr>
          <w:rFonts w:ascii="Comic Sans MS" w:hAnsi="Comic Sans MS"/>
          <w:b/>
          <w:bCs/>
          <w:color w:val="0070C0"/>
        </w:rPr>
        <w:t xml:space="preserve"> donc</w:t>
      </w:r>
      <w:r w:rsidRPr="00965B32">
        <w:rPr>
          <w:rFonts w:ascii="Comic Sans MS" w:hAnsi="Comic Sans MS"/>
        </w:rPr>
        <w:t> :</w:t>
      </w:r>
    </w:p>
    <w:p w:rsidR="008F097A" w:rsidRPr="00965B32" w:rsidRDefault="008F097A" w:rsidP="00965B32">
      <w:pPr>
        <w:ind w:left="360"/>
        <w:jc w:val="both"/>
        <w:rPr>
          <w:rFonts w:ascii="Comic Sans MS" w:hAnsi="Comic Sans MS"/>
        </w:rPr>
      </w:pPr>
      <w:r w:rsidRPr="00965B32">
        <w:rPr>
          <w:rFonts w:ascii="Comic Sans MS" w:hAnsi="Comic Sans MS"/>
        </w:rPr>
        <w:t xml:space="preserve">1. </w:t>
      </w:r>
      <w:r w:rsidR="00AE1E9D" w:rsidRPr="00965B32">
        <w:rPr>
          <w:rFonts w:ascii="Comic Sans MS" w:hAnsi="Comic Sans MS"/>
        </w:rPr>
        <w:t>A</w:t>
      </w:r>
      <w:r w:rsidRPr="00965B32">
        <w:rPr>
          <w:rFonts w:ascii="Comic Sans MS" w:hAnsi="Comic Sans MS"/>
        </w:rPr>
        <w:t>mener le sujet (amorcer le thème) : présenter un fait général lié au sujet de réflexion (phrase d’ordre général)</w:t>
      </w:r>
    </w:p>
    <w:p w:rsidR="008F097A" w:rsidRPr="00965B32" w:rsidRDefault="00AE1E9D" w:rsidP="00965B32">
      <w:pPr>
        <w:ind w:left="360"/>
        <w:jc w:val="both"/>
        <w:rPr>
          <w:rFonts w:ascii="Comic Sans MS" w:hAnsi="Comic Sans MS"/>
        </w:rPr>
      </w:pPr>
      <w:r w:rsidRPr="00965B32">
        <w:rPr>
          <w:rFonts w:ascii="Comic Sans MS" w:hAnsi="Comic Sans MS"/>
        </w:rPr>
        <w:t>2. Etablir</w:t>
      </w:r>
      <w:r w:rsidR="008F097A" w:rsidRPr="00965B32">
        <w:rPr>
          <w:rFonts w:ascii="Comic Sans MS" w:hAnsi="Comic Sans MS"/>
        </w:rPr>
        <w:t xml:space="preserve"> (cerner) la problématique : reformuler la question posée et définir ainsi ce dont on va parler.</w:t>
      </w:r>
    </w:p>
    <w:p w:rsidR="008F097A" w:rsidRPr="00965B32" w:rsidRDefault="00AE1E9D" w:rsidP="00965B32">
      <w:pPr>
        <w:ind w:left="360"/>
        <w:jc w:val="both"/>
        <w:rPr>
          <w:rFonts w:ascii="Comic Sans MS" w:hAnsi="Comic Sans MS"/>
        </w:rPr>
      </w:pPr>
      <w:r w:rsidRPr="00965B32">
        <w:rPr>
          <w:rFonts w:ascii="Comic Sans MS" w:hAnsi="Comic Sans MS"/>
        </w:rPr>
        <w:t>3. Annoncer</w:t>
      </w:r>
      <w:r w:rsidR="008F097A" w:rsidRPr="00965B32">
        <w:rPr>
          <w:rFonts w:ascii="Comic Sans MS" w:hAnsi="Comic Sans MS"/>
        </w:rPr>
        <w:t>/insérer le plan.</w:t>
      </w:r>
    </w:p>
    <w:p w:rsidR="008F097A" w:rsidRPr="00965B32" w:rsidRDefault="008F097A" w:rsidP="00965B32">
      <w:pPr>
        <w:ind w:left="360"/>
        <w:jc w:val="both"/>
        <w:rPr>
          <w:rFonts w:ascii="Comic Sans MS" w:hAnsi="Comic Sans MS"/>
          <w:b/>
          <w:bCs/>
          <w:color w:val="0070C0"/>
        </w:rPr>
      </w:pPr>
      <w:r w:rsidRPr="00965B32">
        <w:rPr>
          <w:rFonts w:ascii="Comic Sans MS" w:hAnsi="Comic Sans MS"/>
          <w:b/>
          <w:bCs/>
          <w:color w:val="0070C0"/>
        </w:rPr>
        <w:t>La conclusion se construit de deux composantes :</w:t>
      </w:r>
    </w:p>
    <w:p w:rsidR="008F097A" w:rsidRPr="00965B32" w:rsidRDefault="00AE1E9D" w:rsidP="00965B32">
      <w:pPr>
        <w:ind w:left="360"/>
        <w:jc w:val="both"/>
        <w:rPr>
          <w:rFonts w:ascii="Comic Sans MS" w:hAnsi="Comic Sans MS"/>
        </w:rPr>
      </w:pPr>
      <w:r w:rsidRPr="00965B32">
        <w:rPr>
          <w:rFonts w:ascii="Comic Sans MS" w:hAnsi="Comic Sans MS"/>
        </w:rPr>
        <w:t>1. Bilan</w:t>
      </w:r>
      <w:r w:rsidR="008F097A" w:rsidRPr="00965B32">
        <w:rPr>
          <w:rFonts w:ascii="Comic Sans MS" w:hAnsi="Comic Sans MS"/>
        </w:rPr>
        <w:t> : une récapitulation brève de l’essentiel.</w:t>
      </w:r>
    </w:p>
    <w:p w:rsidR="008F097A" w:rsidRPr="00965B32" w:rsidRDefault="008F097A" w:rsidP="00965B32">
      <w:pPr>
        <w:ind w:left="360"/>
        <w:jc w:val="both"/>
        <w:rPr>
          <w:rFonts w:ascii="Comic Sans MS" w:hAnsi="Comic Sans MS"/>
        </w:rPr>
      </w:pPr>
      <w:r w:rsidRPr="00965B32">
        <w:rPr>
          <w:rFonts w:ascii="Comic Sans MS" w:hAnsi="Comic Sans MS"/>
        </w:rPr>
        <w:t xml:space="preserve">2. </w:t>
      </w:r>
      <w:r w:rsidR="00AE1E9D" w:rsidRPr="00965B32">
        <w:rPr>
          <w:rFonts w:ascii="Comic Sans MS" w:hAnsi="Comic Sans MS"/>
        </w:rPr>
        <w:t>E</w:t>
      </w:r>
      <w:r w:rsidRPr="00965B32">
        <w:rPr>
          <w:rFonts w:ascii="Comic Sans MS" w:hAnsi="Comic Sans MS"/>
        </w:rPr>
        <w:t>xpansion </w:t>
      </w:r>
      <w:r w:rsidR="00AE1E9D" w:rsidRPr="00965B32">
        <w:rPr>
          <w:rFonts w:ascii="Comic Sans MS" w:hAnsi="Comic Sans MS"/>
        </w:rPr>
        <w:t>: ouvrir</w:t>
      </w:r>
      <w:r w:rsidRPr="00965B32">
        <w:rPr>
          <w:rFonts w:ascii="Comic Sans MS" w:hAnsi="Comic Sans MS"/>
        </w:rPr>
        <w:t xml:space="preserve"> de nouvelles pistes pour prolonger la pensée.</w:t>
      </w:r>
    </w:p>
    <w:p w:rsidR="00965B32" w:rsidRPr="00965B32" w:rsidRDefault="00965B32" w:rsidP="00965B32">
      <w:pPr>
        <w:ind w:left="720"/>
        <w:jc w:val="both"/>
        <w:rPr>
          <w:rFonts w:ascii="Comic Sans MS" w:hAnsi="Comic Sans MS"/>
        </w:rPr>
      </w:pPr>
      <w:r w:rsidRPr="00965B32">
        <w:rPr>
          <w:rFonts w:ascii="Comic Sans MS" w:hAnsi="Comic Sans MS"/>
          <w:noProof/>
          <w:lang w:eastAsia="fr-FR"/>
        </w:rPr>
        <w:drawing>
          <wp:inline distT="0" distB="0" distL="0" distR="0">
            <wp:extent cx="386806" cy="399765"/>
            <wp:effectExtent l="19050" t="0" r="0" b="0"/>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90987" cy="404086"/>
                    </a:xfrm>
                    <a:prstGeom prst="rect">
                      <a:avLst/>
                    </a:prstGeom>
                    <a:noFill/>
                    <a:ln w="9525">
                      <a:noFill/>
                      <a:miter lim="800000"/>
                      <a:headEnd/>
                      <a:tailEnd/>
                    </a:ln>
                  </pic:spPr>
                </pic:pic>
              </a:graphicData>
            </a:graphic>
          </wp:inline>
        </w:drawing>
      </w:r>
      <w:r w:rsidRPr="00965B32">
        <w:rPr>
          <w:rFonts w:ascii="Comic Sans MS" w:hAnsi="Comic Sans MS"/>
        </w:rPr>
        <w:t>Sur la copie, introduction et conclusion sont séparées du développement par un blanc</w:t>
      </w:r>
    </w:p>
    <w:sectPr w:rsidR="00965B32" w:rsidRPr="00965B32" w:rsidSect="001167F6">
      <w:headerReference w:type="default" r:id="rId8"/>
      <w:pgSz w:w="10440" w:h="15120" w:code="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E6B" w:rsidRDefault="00BC4E6B" w:rsidP="00BC4E6B">
      <w:pPr>
        <w:spacing w:after="0" w:line="240" w:lineRule="auto"/>
      </w:pPr>
      <w:r>
        <w:separator/>
      </w:r>
    </w:p>
  </w:endnote>
  <w:endnote w:type="continuationSeparator" w:id="1">
    <w:p w:rsidR="00BC4E6B" w:rsidRDefault="00BC4E6B" w:rsidP="00BC4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E6B" w:rsidRDefault="00BC4E6B" w:rsidP="00BC4E6B">
      <w:pPr>
        <w:spacing w:after="0" w:line="240" w:lineRule="auto"/>
      </w:pPr>
      <w:r>
        <w:separator/>
      </w:r>
    </w:p>
  </w:footnote>
  <w:footnote w:type="continuationSeparator" w:id="1">
    <w:p w:rsidR="00BC4E6B" w:rsidRDefault="00BC4E6B" w:rsidP="00BC4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E6B" w:rsidRDefault="00BC4E6B">
    <w:pPr>
      <w:pStyle w:val="En-tte"/>
    </w:pPr>
    <w:proofErr w:type="spellStart"/>
    <w:r>
      <w:t>Guemi</w:t>
    </w:r>
    <w:proofErr w:type="spellEnd"/>
    <w:r>
      <w:t xml:space="preserve"> </w:t>
    </w:r>
    <w:proofErr w:type="spellStart"/>
    <w:r>
      <w:t>taieb</w:t>
    </w:r>
    <w:proofErr w:type="spellEnd"/>
    <w:r>
      <w:t> </w:t>
    </w:r>
    <w:proofErr w:type="gramStart"/>
    <w:r>
      <w:t>:</w:t>
    </w:r>
    <w:proofErr w:type="spellStart"/>
    <w:r>
      <w:t>kasserine</w:t>
    </w:r>
    <w:proofErr w:type="spellEnd"/>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371F7"/>
    <w:multiLevelType w:val="hybridMultilevel"/>
    <w:tmpl w:val="E65E60E4"/>
    <w:lvl w:ilvl="0" w:tplc="24427988">
      <w:start w:val="1"/>
      <w:numFmt w:val="bullet"/>
      <w:lvlText w:val=""/>
      <w:lvlJc w:val="left"/>
      <w:pPr>
        <w:ind w:left="1080" w:hanging="360"/>
      </w:pPr>
      <w:rPr>
        <w:rFonts w:ascii="Symbol" w:hAnsi="Symbol"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748018A1"/>
    <w:multiLevelType w:val="hybridMultilevel"/>
    <w:tmpl w:val="DEDADFD2"/>
    <w:lvl w:ilvl="0" w:tplc="0A022DC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C7CCF"/>
    <w:rsid w:val="00085173"/>
    <w:rsid w:val="001167F6"/>
    <w:rsid w:val="002631AB"/>
    <w:rsid w:val="006674FC"/>
    <w:rsid w:val="007E0C34"/>
    <w:rsid w:val="008A69BC"/>
    <w:rsid w:val="008F097A"/>
    <w:rsid w:val="00965B32"/>
    <w:rsid w:val="00982362"/>
    <w:rsid w:val="00A160BE"/>
    <w:rsid w:val="00AE1E9D"/>
    <w:rsid w:val="00BC4E6B"/>
    <w:rsid w:val="00DC7CCF"/>
    <w:rsid w:val="00E158AE"/>
    <w:rsid w:val="00EB76E6"/>
    <w:rsid w:val="00EF23EB"/>
    <w:rsid w:val="00FA2CD8"/>
    <w:rsid w:val="00FC1B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160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160B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A160BE"/>
    <w:pPr>
      <w:ind w:left="720"/>
      <w:contextualSpacing/>
    </w:pPr>
  </w:style>
  <w:style w:type="paragraph" w:styleId="Textedebulles">
    <w:name w:val="Balloon Text"/>
    <w:basedOn w:val="Normal"/>
    <w:link w:val="TextedebullesCar"/>
    <w:uiPriority w:val="99"/>
    <w:semiHidden/>
    <w:unhideWhenUsed/>
    <w:rsid w:val="00965B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5B32"/>
    <w:rPr>
      <w:rFonts w:ascii="Tahoma" w:hAnsi="Tahoma" w:cs="Tahoma"/>
      <w:sz w:val="16"/>
      <w:szCs w:val="16"/>
    </w:rPr>
  </w:style>
  <w:style w:type="paragraph" w:styleId="En-tte">
    <w:name w:val="header"/>
    <w:basedOn w:val="Normal"/>
    <w:link w:val="En-tteCar"/>
    <w:uiPriority w:val="99"/>
    <w:semiHidden/>
    <w:unhideWhenUsed/>
    <w:rsid w:val="00BC4E6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C4E6B"/>
  </w:style>
  <w:style w:type="paragraph" w:styleId="Pieddepage">
    <w:name w:val="footer"/>
    <w:basedOn w:val="Normal"/>
    <w:link w:val="PieddepageCar"/>
    <w:uiPriority w:val="99"/>
    <w:semiHidden/>
    <w:unhideWhenUsed/>
    <w:rsid w:val="00BC4E6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C4E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402</Words>
  <Characters>2214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2018-02-28T19:03:00Z</dcterms:created>
  <dcterms:modified xsi:type="dcterms:W3CDTF">2018-03-14T21:07:00Z</dcterms:modified>
</cp:coreProperties>
</file>